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wmf" ContentType="image/x-wmf"/>
  <Override PartName="/word/media/image2.wmf" ContentType="image/x-wmf"/>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ConsPlusNormal"/>
        <w:numPr>
          <w:ilvl w:val="0"/>
          <w:numId w:val="0"/>
        </w:numPr>
        <w:jc w:val="right"/>
        <w:outlineLvl w:val="1"/>
        <w:rPr>
          <w:rFonts w:ascii="Times New Roman" w:hAnsi="Times New Roman" w:cs="Times New Roman"/>
        </w:rPr>
      </w:pPr>
      <w:bookmarkStart w:id="0" w:name="_GoBack"/>
      <w:bookmarkEnd w:id="0"/>
      <w:r>
        <w:rPr>
          <w:rFonts w:cs="Times New Roman" w:ascii="Times New Roman" w:hAnsi="Times New Roman"/>
        </w:rPr>
        <w:t>Приложение 12</w:t>
      </w:r>
    </w:p>
    <w:p>
      <w:pPr>
        <w:pStyle w:val="ConsPlusNormal"/>
        <w:jc w:val="right"/>
        <w:rPr>
          <w:rFonts w:ascii="Times New Roman" w:hAnsi="Times New Roman" w:cs="Times New Roman"/>
        </w:rPr>
      </w:pPr>
      <w:r>
        <w:rPr>
          <w:rFonts w:cs="Times New Roman" w:ascii="Times New Roman" w:hAnsi="Times New Roman"/>
        </w:rPr>
        <w:t>к государственной программе</w:t>
      </w:r>
    </w:p>
    <w:p>
      <w:pPr>
        <w:pStyle w:val="ConsPlusNormal"/>
        <w:jc w:val="right"/>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"Развитие образования и науки Брянской области"</w:t>
      </w:r>
    </w:p>
    <w:p>
      <w:pPr>
        <w:pStyle w:val="ConsPlusNormal"/>
        <w:jc w:val="center"/>
        <w:rPr>
          <w:rFonts w:ascii="Times New Roman" w:hAnsi="Times New Roman" w:cs="Times New Roman"/>
        </w:rPr>
      </w:pPr>
      <w:r>
        <w:rPr>
          <w:rFonts w:cs="Times New Roman" w:ascii="Times New Roman" w:hAnsi="Times New Roman"/>
        </w:rPr>
      </w:r>
    </w:p>
    <w:p>
      <w:pPr>
        <w:pStyle w:val="ConsPlusTitle"/>
        <w:jc w:val="center"/>
        <w:rPr>
          <w:rFonts w:ascii="Times New Roman" w:hAnsi="Times New Roman" w:cs="Times New Roman"/>
        </w:rPr>
      </w:pPr>
      <w:r>
        <w:rPr>
          <w:rFonts w:cs="Times New Roman" w:ascii="Times New Roman" w:hAnsi="Times New Roman"/>
        </w:rPr>
        <w:t>Порядок</w:t>
      </w:r>
    </w:p>
    <w:p>
      <w:pPr>
        <w:pStyle w:val="ConsPlusTitle"/>
        <w:jc w:val="center"/>
        <w:rPr>
          <w:rFonts w:ascii="Times New Roman" w:hAnsi="Times New Roman" w:cs="Times New Roman"/>
        </w:rPr>
      </w:pPr>
      <w:r>
        <w:rPr>
          <w:rFonts w:cs="Times New Roman" w:ascii="Times New Roman" w:hAnsi="Times New Roman"/>
        </w:rPr>
        <w:t>предоставления иных межбюджетных трансфертов бюджетам</w:t>
      </w:r>
    </w:p>
    <w:p>
      <w:pPr>
        <w:pStyle w:val="ConsPlusTitle"/>
        <w:jc w:val="center"/>
        <w:rPr>
          <w:rFonts w:ascii="Times New Roman" w:hAnsi="Times New Roman" w:cs="Times New Roman"/>
        </w:rPr>
      </w:pPr>
      <w:r>
        <w:rPr>
          <w:rFonts w:cs="Times New Roman" w:ascii="Times New Roman" w:hAnsi="Times New Roman"/>
        </w:rPr>
        <w:t>муниципальных районов (муниципальных округов, городских округов) на финансовое</w:t>
      </w:r>
    </w:p>
    <w:p>
      <w:pPr>
        <w:pStyle w:val="ConsPlusTitle"/>
        <w:jc w:val="center"/>
        <w:rPr>
          <w:rFonts w:ascii="Times New Roman" w:hAnsi="Times New Roman" w:cs="Times New Roman"/>
        </w:rPr>
      </w:pPr>
      <w:r>
        <w:rPr>
          <w:rFonts w:cs="Times New Roman" w:ascii="Times New Roman" w:hAnsi="Times New Roman"/>
        </w:rPr>
        <w:t>обеспечение мероприятий по созданию в субъектах Российской</w:t>
      </w:r>
    </w:p>
    <w:p>
      <w:pPr>
        <w:pStyle w:val="ConsPlusTitle"/>
        <w:jc w:val="center"/>
        <w:rPr>
          <w:rFonts w:ascii="Times New Roman" w:hAnsi="Times New Roman" w:cs="Times New Roman"/>
        </w:rPr>
      </w:pPr>
      <w:r>
        <w:rPr>
          <w:rFonts w:cs="Times New Roman" w:ascii="Times New Roman" w:hAnsi="Times New Roman"/>
        </w:rPr>
        <w:t>Федерации дополнительных мест для детей в возрасте</w:t>
      </w:r>
    </w:p>
    <w:p>
      <w:pPr>
        <w:pStyle w:val="ConsPlusTitle"/>
        <w:jc w:val="center"/>
        <w:rPr>
          <w:rFonts w:ascii="Times New Roman" w:hAnsi="Times New Roman" w:cs="Times New Roman"/>
        </w:rPr>
      </w:pPr>
      <w:r>
        <w:rPr>
          <w:rFonts w:cs="Times New Roman" w:ascii="Times New Roman" w:hAnsi="Times New Roman"/>
        </w:rPr>
        <w:t>от 2 месяцев до 3 лет в образовательных организациях,</w:t>
      </w:r>
    </w:p>
    <w:p>
      <w:pPr>
        <w:pStyle w:val="ConsPlusTitle"/>
        <w:jc w:val="center"/>
        <w:rPr>
          <w:rFonts w:ascii="Times New Roman" w:hAnsi="Times New Roman" w:cs="Times New Roman"/>
        </w:rPr>
      </w:pPr>
      <w:r>
        <w:rPr>
          <w:rFonts w:cs="Times New Roman" w:ascii="Times New Roman" w:hAnsi="Times New Roman"/>
        </w:rPr>
        <w:t>осуществляющих образовательную деятельность</w:t>
      </w:r>
    </w:p>
    <w:p>
      <w:pPr>
        <w:pStyle w:val="ConsPlusTitle"/>
        <w:jc w:val="center"/>
        <w:rPr>
          <w:rFonts w:ascii="Times New Roman" w:hAnsi="Times New Roman" w:cs="Times New Roman"/>
        </w:rPr>
      </w:pPr>
      <w:r>
        <w:rPr>
          <w:rFonts w:cs="Times New Roman" w:ascii="Times New Roman" w:hAnsi="Times New Roman"/>
        </w:rPr>
        <w:t>по образовательным программам дошкольного образования</w:t>
      </w:r>
    </w:p>
    <w:p>
      <w:pPr>
        <w:pStyle w:val="Normal"/>
        <w:spacing w:before="0" w:after="1"/>
        <w:rPr>
          <w:rFonts w:ascii="Times New Roman" w:hAnsi="Times New Roman" w:cs="Times New Roman"/>
        </w:rPr>
      </w:pPr>
      <w:r>
        <w:rPr>
          <w:rFonts w:cs="Times New Roman" w:ascii="Times New Roman" w:hAnsi="Times New Roman"/>
        </w:rPr>
      </w:r>
    </w:p>
    <w:p>
      <w:pPr>
        <w:pStyle w:val="ConsPlusNormal"/>
        <w:jc w:val="center"/>
        <w:rPr>
          <w:rFonts w:ascii="Times New Roman" w:hAnsi="Times New Roman" w:cs="Times New Roman"/>
        </w:rPr>
      </w:pPr>
      <w:r>
        <w:rPr>
          <w:rFonts w:cs="Times New Roman" w:ascii="Times New Roman" w:hAnsi="Times New Roman"/>
        </w:rPr>
      </w:r>
    </w:p>
    <w:p>
      <w:pPr>
        <w:pStyle w:val="ConsPlusNormal"/>
        <w:ind w:firstLine="540"/>
        <w:jc w:val="both"/>
        <w:rPr>
          <w:rFonts w:ascii="Times New Roman" w:hAnsi="Times New Roman" w:cs="Times New Roman"/>
        </w:rPr>
      </w:pPr>
      <w:r>
        <w:rPr>
          <w:rFonts w:cs="Times New Roman" w:ascii="Times New Roman" w:hAnsi="Times New Roman"/>
        </w:rPr>
        <w:t>1. Настоящий Порядок устанавливают цели и условия предоставления и распределения иных межбюджетных трансфертов бюджетам муниципальных районов (муниципальных округов, городских округов) (далее - муниципальные образования) на софинансирование мероприятий, которые направлены на 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(далее - дошкольные организации), в рамках реализации государственной программы "Развитие образования и науки Брянской области" (далее соответственно - иные межбюджетные трансферты, Программа).</w:t>
      </w:r>
    </w:p>
    <w:p>
      <w:pPr>
        <w:pStyle w:val="ConsPlusNormal"/>
        <w:spacing w:before="220" w:after="0"/>
        <w:ind w:firstLine="540"/>
        <w:jc w:val="both"/>
        <w:rPr>
          <w:rFonts w:ascii="Times New Roman" w:hAnsi="Times New Roman" w:cs="Times New Roman"/>
        </w:rPr>
      </w:pPr>
      <w:bookmarkStart w:id="1" w:name="P11653"/>
      <w:bookmarkEnd w:id="1"/>
      <w:r>
        <w:rPr>
          <w:rFonts w:cs="Times New Roman" w:ascii="Times New Roman" w:hAnsi="Times New Roman"/>
        </w:rPr>
        <w:t>2. Иные межбюджетные трансферты предоставляются бюджетам муниципальных образований для оказания финансовой поддержки выполнения органами местного самоуправления полномочий по вопросам местного значения в целях софинансирования реализации муниципальных программ муниципальных образований, в части мероприятий, направленных на создание дополнительных мест для детей в возрасте от 2 месяцев до 3 лет в дошкольных организациях (далее - муниципальные программы) путем строительства зданий (пристройки к зданию), приобретения (выкупа) зданий (пристройки к зданию) и помещений дошкольных организаций, в отношении которых имеется типовая проектная документация из соответствующих реестров Министерства строительства и жилищно-коммунального хозяйства Российской Федерации.</w:t>
      </w:r>
    </w:p>
    <w:p>
      <w:pPr>
        <w:pStyle w:val="ConsPlusNormal"/>
        <w:spacing w:before="220" w:after="0"/>
        <w:ind w:firstLine="540"/>
        <w:jc w:val="both"/>
        <w:rPr>
          <w:rFonts w:ascii="Times New Roman" w:hAnsi="Times New Roman" w:cs="Times New Roman"/>
        </w:rPr>
      </w:pPr>
      <w:r>
        <w:rPr>
          <w:rFonts w:cs="Times New Roman" w:ascii="Times New Roman" w:hAnsi="Times New Roman"/>
        </w:rPr>
        <w:t xml:space="preserve">3. Иные межбюджетные трансферты предоставляются в пределах бюджетных ассигнований областного бюджета и лимитов бюджетных обязательств, доведенных до департамента строительства Брянской области как главного распорядителя средств областного бюджета в установленном порядке на цели, указанные в </w:t>
      </w:r>
      <w:hyperlink w:anchor="P11653">
        <w:r>
          <w:rPr>
            <w:rFonts w:cs="Times New Roman" w:ascii="Times New Roman" w:hAnsi="Times New Roman"/>
          </w:rPr>
          <w:t>пункте 2</w:t>
        </w:r>
      </w:hyperlink>
      <w:r>
        <w:rPr>
          <w:rFonts w:cs="Times New Roman" w:ascii="Times New Roman" w:hAnsi="Times New Roman"/>
        </w:rPr>
        <w:t xml:space="preserve"> настоящего Порядка.</w:t>
      </w:r>
    </w:p>
    <w:p>
      <w:pPr>
        <w:pStyle w:val="ConsPlusNormal"/>
        <w:spacing w:before="220" w:after="0"/>
        <w:ind w:firstLine="540"/>
        <w:jc w:val="both"/>
        <w:rPr>
          <w:rFonts w:ascii="Times New Roman" w:hAnsi="Times New Roman" w:cs="Times New Roman"/>
        </w:rPr>
      </w:pPr>
      <w:r>
        <w:rPr>
          <w:rFonts w:cs="Times New Roman" w:ascii="Times New Roman" w:hAnsi="Times New Roman"/>
        </w:rPr>
        <w:t>4. Размер иного межбюджетного трансферта (Ci) определяется по формуле:</w:t>
      </w:r>
    </w:p>
    <w:p>
      <w:pPr>
        <w:pStyle w:val="ConsPlusNormal"/>
        <w:ind w:firstLine="540"/>
        <w:jc w:val="both"/>
        <w:rPr>
          <w:rFonts w:ascii="Times New Roman" w:hAnsi="Times New Roman" w:cs="Times New Roman"/>
        </w:rPr>
      </w:pPr>
      <w:r>
        <w:rPr>
          <w:rFonts w:cs="Times New Roman" w:ascii="Times New Roman" w:hAnsi="Times New Roman"/>
        </w:rPr>
      </w:r>
    </w:p>
    <w:p>
      <w:pPr>
        <w:pStyle w:val="ConsPlusNormal"/>
        <w:jc w:val="center"/>
        <w:rPr>
          <w:rFonts w:ascii="Times New Roman" w:hAnsi="Times New Roman" w:cs="Times New Roman"/>
        </w:rPr>
      </w:pPr>
      <w:r>
        <w:rPr/>
        <mc:AlternateContent>
          <mc:Choice Requires="wps">
            <w:drawing>
              <wp:inline distT="0" distB="0" distL="0" distR="0">
                <wp:extent cx="1457960" cy="286385"/>
                <wp:effectExtent l="0" t="0" r="0" b="0"/>
                <wp:docPr id="1" name=""/>
                <a:graphic xmlns:a="http://schemas.openxmlformats.org/drawingml/2006/main">
                  <a:graphicData uri="http://schemas.openxmlformats.org/drawingml/2006/picture">
                    <pic:pic xmlns:pic="http://schemas.openxmlformats.org/drawingml/2006/picture">
                      <pic:nvPicPr>
                        <pic:cNvPr id="0" name="" descr=""/>
                        <pic:cNvPicPr/>
                      </pic:nvPicPr>
                      <pic:blipFill>
                        <a:blip r:embed="rId2"/>
                        <a:stretch/>
                      </pic:blipFill>
                      <pic:spPr>
                        <a:xfrm>
                          <a:off x="0" y="0"/>
                          <a:ext cx="1457280" cy="285840"/>
                        </a:xfrm>
                        <a:prstGeom prst="rect">
                          <a:avLst/>
                        </a:prstGeom>
                        <a:ln w="0">
                          <a:noFill/>
                        </a:ln>
                      </pic:spPr>
                    </pic:pic>
                  </a:graphicData>
                </a:graphic>
              </wp:inline>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stroked="f" style="position:absolute;margin-left:0pt;margin-top:-22.55pt;width:114.7pt;height:22.45pt;v-text-anchor:middle;mso-position-vertical:top" type="shapetype_75">
                <v:imagedata r:id="rId3" o:detectmouseclick="t"/>
                <w10:wrap type="none"/>
                <v:stroke color="#3465a4" joinstyle="round" endcap="flat"/>
              </v:shape>
            </w:pict>
          </mc:Fallback>
        </mc:AlternateContent>
      </w:r>
    </w:p>
    <w:p>
      <w:pPr>
        <w:pStyle w:val="ConsPlusNormal"/>
        <w:jc w:val="center"/>
        <w:rPr>
          <w:rFonts w:ascii="Times New Roman" w:hAnsi="Times New Roman" w:cs="Times New Roman"/>
        </w:rPr>
      </w:pPr>
      <w:r>
        <w:rPr>
          <w:rFonts w:cs="Times New Roman" w:ascii="Times New Roman" w:hAnsi="Times New Roman"/>
        </w:rPr>
      </w:r>
    </w:p>
    <w:p>
      <w:pPr>
        <w:pStyle w:val="ConsPlusNormal"/>
        <w:ind w:firstLine="540"/>
        <w:jc w:val="both"/>
        <w:rPr>
          <w:rFonts w:ascii="Times New Roman" w:hAnsi="Times New Roman" w:cs="Times New Roman"/>
        </w:rPr>
      </w:pPr>
      <w:r>
        <w:rPr>
          <w:rFonts w:cs="Times New Roman" w:ascii="Times New Roman" w:hAnsi="Times New Roman"/>
        </w:rPr>
        <w:t>Ci - размер иного межбюджетного трансферта бюджету i-го муниципального образования;</w:t>
      </w:r>
    </w:p>
    <w:p>
      <w:pPr>
        <w:pStyle w:val="ConsPlusNormal"/>
        <w:spacing w:before="220" w:after="0"/>
        <w:ind w:firstLine="540"/>
        <w:jc w:val="both"/>
        <w:rPr>
          <w:rFonts w:ascii="Times New Roman" w:hAnsi="Times New Roman" w:cs="Times New Roman"/>
        </w:rPr>
      </w:pPr>
      <w:r>
        <w:rPr>
          <w:rFonts w:cs="Times New Roman" w:ascii="Times New Roman" w:hAnsi="Times New Roman"/>
        </w:rPr>
        <w:t>C - общий размер иных межбюджетных трансфертов, предусмотренный законом о бюджете (сводной бюджетной росписью областного бюджета на соответствующий финансовый год и плановый период);</w:t>
      </w:r>
    </w:p>
    <w:p>
      <w:pPr>
        <w:pStyle w:val="ConsPlusNormal"/>
        <w:spacing w:before="220" w:after="0"/>
        <w:ind w:firstLine="540"/>
        <w:jc w:val="both"/>
        <w:rPr>
          <w:rFonts w:ascii="Times New Roman" w:hAnsi="Times New Roman" w:cs="Times New Roman"/>
        </w:rPr>
      </w:pPr>
      <w:r>
        <w:rPr>
          <w:rFonts w:cs="Times New Roman" w:ascii="Times New Roman" w:hAnsi="Times New Roman"/>
        </w:rPr>
        <w:t>Vi - объем средств, необходимый i-му муниципальному образованию на софинансирование мероприятий, согласно представленной заявке.</w:t>
      </w:r>
    </w:p>
    <w:p>
      <w:pPr>
        <w:pStyle w:val="ConsPlusNormal"/>
        <w:spacing w:before="220" w:after="0"/>
        <w:ind w:firstLine="540"/>
        <w:jc w:val="both"/>
        <w:rPr>
          <w:rFonts w:ascii="Times New Roman" w:hAnsi="Times New Roman" w:cs="Times New Roman"/>
        </w:rPr>
      </w:pPr>
      <w:r>
        <w:rPr>
          <w:rFonts w:cs="Times New Roman" w:ascii="Times New Roman" w:hAnsi="Times New Roman"/>
        </w:rPr>
        <w:t>5. Распределение иных межбюджетных трансфертов между бюджетами муниципальных образований утверждается постановлением Правительства Брянской области в составе региональной адресной инвестиционной программы.</w:t>
      </w:r>
    </w:p>
    <w:p>
      <w:pPr>
        <w:pStyle w:val="ConsPlusNormal"/>
        <w:spacing w:before="220" w:after="0"/>
        <w:ind w:firstLine="540"/>
        <w:jc w:val="both"/>
        <w:rPr>
          <w:rFonts w:ascii="Times New Roman" w:hAnsi="Times New Roman" w:cs="Times New Roman"/>
        </w:rPr>
      </w:pPr>
      <w:r>
        <w:rPr>
          <w:rFonts w:cs="Times New Roman" w:ascii="Times New Roman" w:hAnsi="Times New Roman"/>
        </w:rPr>
        <w:t>6. Условиями предоставления иных межбюджетных трансфертов являются:</w:t>
      </w:r>
    </w:p>
    <w:p>
      <w:pPr>
        <w:pStyle w:val="ConsPlusNormal"/>
        <w:spacing w:before="220" w:after="0"/>
        <w:ind w:firstLine="540"/>
        <w:jc w:val="both"/>
        <w:rPr>
          <w:rFonts w:ascii="Times New Roman" w:hAnsi="Times New Roman" w:cs="Times New Roman"/>
        </w:rPr>
      </w:pPr>
      <w:bookmarkStart w:id="2" w:name="P11664"/>
      <w:bookmarkEnd w:id="2"/>
      <w:r>
        <w:rPr>
          <w:rFonts w:cs="Times New Roman" w:ascii="Times New Roman" w:hAnsi="Times New Roman"/>
        </w:rPr>
        <w:t xml:space="preserve">а) наличие в муниципальном образовании утвержденной муниципальной программы, включающей в себя, в том числе одно или несколько мероприятий, предусмотренных </w:t>
      </w:r>
      <w:hyperlink w:anchor="P11653">
        <w:r>
          <w:rPr>
            <w:rFonts w:cs="Times New Roman" w:ascii="Times New Roman" w:hAnsi="Times New Roman"/>
          </w:rPr>
          <w:t>пунктом 2</w:t>
        </w:r>
      </w:hyperlink>
      <w:r>
        <w:rPr>
          <w:rFonts w:cs="Times New Roman" w:ascii="Times New Roman" w:hAnsi="Times New Roman"/>
        </w:rPr>
        <w:t xml:space="preserve"> настоящего Порядка, в целях финансового обеспечения которых предоставляются иные межбюджетные трансферты;</w:t>
      </w:r>
    </w:p>
    <w:p>
      <w:pPr>
        <w:pStyle w:val="ConsPlusNormal"/>
        <w:spacing w:before="220" w:after="0"/>
        <w:ind w:firstLine="540"/>
        <w:jc w:val="both"/>
        <w:rPr>
          <w:rFonts w:ascii="Times New Roman" w:hAnsi="Times New Roman" w:cs="Times New Roman"/>
        </w:rPr>
      </w:pPr>
      <w:r>
        <w:rPr>
          <w:rFonts w:cs="Times New Roman" w:ascii="Times New Roman" w:hAnsi="Times New Roman"/>
        </w:rPr>
        <w:t>б) наличие в бюджетах муниципальных образований бюджетных ассигнований на исполнение расходного обязательства в объеме, рассчитанном с учетом предельного уровня софинансирования расходного обязательства муниципального образования из областного бюджета, утверждаемого нормативным правовым актом Правительства Брянской области;</w:t>
      </w:r>
    </w:p>
    <w:p>
      <w:pPr>
        <w:pStyle w:val="ConsPlusNormal"/>
        <w:spacing w:before="220" w:after="0"/>
        <w:ind w:firstLine="540"/>
        <w:jc w:val="both"/>
        <w:rPr>
          <w:rFonts w:ascii="Times New Roman" w:hAnsi="Times New Roman" w:cs="Times New Roman"/>
        </w:rPr>
      </w:pPr>
      <w:bookmarkStart w:id="3" w:name="P11666"/>
      <w:bookmarkStart w:id="4" w:name="P11665"/>
      <w:bookmarkEnd w:id="3"/>
      <w:bookmarkEnd w:id="4"/>
      <w:r>
        <w:rPr>
          <w:rFonts w:cs="Times New Roman" w:ascii="Times New Roman" w:hAnsi="Times New Roman"/>
        </w:rPr>
        <w:t>в) наличие муниципального нормативного правового акта, включающего мероприятия, направленные на осуществление капитальных вложений в объекты муниципальной собственности;</w:t>
      </w:r>
    </w:p>
    <w:p>
      <w:pPr>
        <w:pStyle w:val="ConsPlusNormal"/>
        <w:spacing w:before="220" w:after="0"/>
        <w:ind w:firstLine="540"/>
        <w:jc w:val="both"/>
        <w:rPr>
          <w:rFonts w:ascii="Times New Roman" w:hAnsi="Times New Roman" w:cs="Times New Roman"/>
        </w:rPr>
      </w:pPr>
      <w:r>
        <w:rPr>
          <w:rFonts w:cs="Times New Roman" w:ascii="Times New Roman" w:hAnsi="Times New Roman"/>
        </w:rPr>
        <w:t xml:space="preserve">г) заключение соглашения между департаментом строительства Брянской области в соответствии с </w:t>
      </w:r>
      <w:hyperlink w:anchor="P11669">
        <w:r>
          <w:rPr>
            <w:rFonts w:cs="Times New Roman" w:ascii="Times New Roman" w:hAnsi="Times New Roman"/>
          </w:rPr>
          <w:t>пунктом 8</w:t>
        </w:r>
      </w:hyperlink>
      <w:r>
        <w:rPr>
          <w:rFonts w:cs="Times New Roman" w:ascii="Times New Roman" w:hAnsi="Times New Roman"/>
        </w:rPr>
        <w:t xml:space="preserve"> настоящего Порядка.</w:t>
      </w:r>
    </w:p>
    <w:p>
      <w:pPr>
        <w:pStyle w:val="ConsPlusNormal"/>
        <w:spacing w:before="220" w:after="0"/>
        <w:ind w:firstLine="540"/>
        <w:jc w:val="both"/>
        <w:rPr>
          <w:rFonts w:ascii="Times New Roman" w:hAnsi="Times New Roman" w:cs="Times New Roman"/>
        </w:rPr>
      </w:pPr>
      <w:r>
        <w:rPr>
          <w:rFonts w:cs="Times New Roman" w:ascii="Times New Roman" w:hAnsi="Times New Roman"/>
        </w:rPr>
        <w:t>7. Уровень софинансирования расходного обязательства муниципальных образований, в целях которого предоставляются иные межбюджетные трансферты, не может превышать 95% объема расходного обязательства.</w:t>
      </w:r>
    </w:p>
    <w:p>
      <w:pPr>
        <w:pStyle w:val="ConsPlusNormal"/>
        <w:spacing w:before="220" w:after="0"/>
        <w:ind w:firstLine="540"/>
        <w:jc w:val="both"/>
        <w:rPr>
          <w:rFonts w:ascii="Times New Roman" w:hAnsi="Times New Roman" w:cs="Times New Roman"/>
        </w:rPr>
      </w:pPr>
      <w:bookmarkStart w:id="5" w:name="P11669"/>
      <w:bookmarkEnd w:id="5"/>
      <w:r>
        <w:rPr>
          <w:rFonts w:cs="Times New Roman" w:ascii="Times New Roman" w:hAnsi="Times New Roman"/>
        </w:rPr>
        <w:t>8. Предоставление иных межбюджетных трансфертов осуществляется на основании соглашения о предоставлении иного межбюджетного трансферта, подготавливаемого (формируемого) и заключаемого между главным распорядителем средств областного бюджета и исполнительным органом местного самоуправления (далее - соглашение).</w:t>
      </w:r>
    </w:p>
    <w:p>
      <w:pPr>
        <w:pStyle w:val="ConsPlusNormal"/>
        <w:spacing w:before="220" w:after="0"/>
        <w:ind w:firstLine="540"/>
        <w:jc w:val="both"/>
        <w:rPr>
          <w:rFonts w:ascii="Times New Roman" w:hAnsi="Times New Roman" w:cs="Times New Roman"/>
        </w:rPr>
      </w:pPr>
      <w:r>
        <w:rPr>
          <w:rFonts w:cs="Times New Roman" w:ascii="Times New Roman" w:hAnsi="Times New Roman"/>
        </w:rPr>
        <w:t>Соглашение и дополнительные соглашения к соглашению, предусматривающие внесение в него изменений и его расторжение, заключаются по типовой форме, предусмотренной в государственной интегрированной информационной системе общественными финансами "Электронный бюджет".</w:t>
      </w:r>
    </w:p>
    <w:p>
      <w:pPr>
        <w:pStyle w:val="ConsPlusNormal"/>
        <w:spacing w:before="220" w:after="0"/>
        <w:ind w:firstLine="540"/>
        <w:jc w:val="both"/>
        <w:rPr>
          <w:rFonts w:ascii="Times New Roman" w:hAnsi="Times New Roman" w:cs="Times New Roman"/>
        </w:rPr>
      </w:pPr>
      <w:r>
        <w:rPr>
          <w:rFonts w:cs="Times New Roman" w:ascii="Times New Roman" w:hAnsi="Times New Roman"/>
        </w:rPr>
        <w:t xml:space="preserve">При заключении соглашения исполнительный орган местного самоуправления представляет в департамент строительства Брянской области документы об исполнении условия предоставления иного межбюджетного трансферта, предусмотренные </w:t>
      </w:r>
      <w:hyperlink w:anchor="P11664">
        <w:r>
          <w:rPr>
            <w:rFonts w:cs="Times New Roman" w:ascii="Times New Roman" w:hAnsi="Times New Roman"/>
          </w:rPr>
          <w:t>подпунктами "а"</w:t>
        </w:r>
      </w:hyperlink>
      <w:r>
        <w:rPr>
          <w:rFonts w:cs="Times New Roman" w:ascii="Times New Roman" w:hAnsi="Times New Roman"/>
        </w:rPr>
        <w:t xml:space="preserve"> и </w:t>
      </w:r>
      <w:hyperlink w:anchor="P11666">
        <w:r>
          <w:rPr>
            <w:rFonts w:cs="Times New Roman" w:ascii="Times New Roman" w:hAnsi="Times New Roman"/>
          </w:rPr>
          <w:t>"в" пункта 6</w:t>
        </w:r>
      </w:hyperlink>
      <w:r>
        <w:rPr>
          <w:rFonts w:cs="Times New Roman" w:ascii="Times New Roman" w:hAnsi="Times New Roman"/>
        </w:rPr>
        <w:t xml:space="preserve"> настоящего Порядка, а также в департамент образования и науки Брянской области документ, предусмотренный </w:t>
      </w:r>
      <w:hyperlink w:anchor="P11665">
        <w:r>
          <w:rPr>
            <w:rFonts w:cs="Times New Roman" w:ascii="Times New Roman" w:hAnsi="Times New Roman"/>
          </w:rPr>
          <w:t>подпунктом "б" пункта 6</w:t>
        </w:r>
      </w:hyperlink>
      <w:r>
        <w:rPr>
          <w:rFonts w:cs="Times New Roman" w:ascii="Times New Roman" w:hAnsi="Times New Roman"/>
        </w:rPr>
        <w:t xml:space="preserve"> настоящего Порядка.</w:t>
      </w:r>
    </w:p>
    <w:p>
      <w:pPr>
        <w:pStyle w:val="ConsPlusNormal"/>
        <w:spacing w:before="220" w:after="0"/>
        <w:ind w:firstLine="540"/>
        <w:jc w:val="both"/>
        <w:rPr>
          <w:rFonts w:ascii="Times New Roman" w:hAnsi="Times New Roman" w:cs="Times New Roman"/>
        </w:rPr>
      </w:pPr>
      <w:r>
        <w:rPr>
          <w:rFonts w:cs="Times New Roman" w:ascii="Times New Roman" w:hAnsi="Times New Roman"/>
        </w:rPr>
        <w:t>9. Внесение в соглашение изменений, предусматривающих ухудшение значений показателей результатов использования иного межбюджетного трансферта, а также увеличение сроков реализации предусмотренных соглашением мероприятий, не допускается, за исключением случаев, если выполнение условий предоставления иного межбюджетного трансферта оказалось невозможным вследствие обстоятельств непреодолимой силы, изменения значений целевых показателей и индикаторов государственной программы "Развитие образования и науки Брянской области", а также в случае существенного (более чем на 20 процентов) сокращения размера иного межбюджетного трансферта.</w:t>
      </w:r>
    </w:p>
    <w:p>
      <w:pPr>
        <w:pStyle w:val="ConsPlusNormal"/>
        <w:spacing w:before="220" w:after="0"/>
        <w:ind w:firstLine="540"/>
        <w:jc w:val="both"/>
        <w:rPr>
          <w:rFonts w:ascii="Times New Roman" w:hAnsi="Times New Roman" w:cs="Times New Roman"/>
        </w:rPr>
      </w:pPr>
      <w:r>
        <w:rPr>
          <w:rFonts w:cs="Times New Roman" w:ascii="Times New Roman" w:hAnsi="Times New Roman"/>
        </w:rPr>
        <w:t>Допускается внесение в соглашение изменений, предусматривающих увеличение значений показателей результатов использования иного межбюджетного трансферта, без увеличения размера иного межбюджетного трансферта.</w:t>
      </w:r>
    </w:p>
    <w:p>
      <w:pPr>
        <w:pStyle w:val="ConsPlusNormal"/>
        <w:spacing w:before="220" w:after="0"/>
        <w:ind w:firstLine="540"/>
        <w:jc w:val="both"/>
        <w:rPr>
          <w:rFonts w:ascii="Times New Roman" w:hAnsi="Times New Roman" w:cs="Times New Roman"/>
        </w:rPr>
      </w:pPr>
      <w:r>
        <w:rPr>
          <w:rFonts w:cs="Times New Roman" w:ascii="Times New Roman" w:hAnsi="Times New Roman"/>
        </w:rPr>
        <w:t>10. Перечисление иного межбюджетного трансферта осуществляется в установленном порядке на счета,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w:t>
      </w:r>
    </w:p>
    <w:p>
      <w:pPr>
        <w:pStyle w:val="ConsPlusNormal"/>
        <w:spacing w:before="220" w:after="0"/>
        <w:ind w:firstLine="540"/>
        <w:jc w:val="both"/>
        <w:rPr>
          <w:rFonts w:ascii="Times New Roman" w:hAnsi="Times New Roman" w:cs="Times New Roman"/>
        </w:rPr>
      </w:pPr>
      <w:r>
        <w:rPr>
          <w:rFonts w:cs="Times New Roman" w:ascii="Times New Roman" w:hAnsi="Times New Roman"/>
        </w:rPr>
        <w:t xml:space="preserve">11. Исполнительный орган местного самоуправления осуществляет закупку работ на реализацию целей, предусмотренных </w:t>
      </w:r>
      <w:hyperlink w:anchor="P11653">
        <w:r>
          <w:rPr>
            <w:rFonts w:cs="Times New Roman" w:ascii="Times New Roman" w:hAnsi="Times New Roman"/>
          </w:rPr>
          <w:t>пунктом 2</w:t>
        </w:r>
      </w:hyperlink>
      <w:r>
        <w:rPr>
          <w:rFonts w:cs="Times New Roman" w:ascii="Times New Roman" w:hAnsi="Times New Roman"/>
        </w:rPr>
        <w:t xml:space="preserve"> настоящего Порядка, в соответствии с Федеральным </w:t>
      </w:r>
      <w:hyperlink r:id="rId4">
        <w:r>
          <w:rPr>
            <w:rFonts w:cs="Times New Roman" w:ascii="Times New Roman" w:hAnsi="Times New Roman"/>
          </w:rPr>
          <w:t>законом</w:t>
        </w:r>
      </w:hyperlink>
      <w:r>
        <w:rPr>
          <w:rFonts w:cs="Times New Roman" w:ascii="Times New Roman" w:hAnsi="Times New Roman"/>
        </w:rPr>
        <w:t xml:space="preserve"> от 05.04.2013 № 44-ФЗ "О контрактной системе в сфере закупок товаров, работ, услуг для обеспечения государственных и муниципальных нужд".</w:t>
      </w:r>
    </w:p>
    <w:p>
      <w:pPr>
        <w:pStyle w:val="ConsPlusNormal"/>
        <w:spacing w:before="220" w:after="0"/>
        <w:ind w:firstLine="540"/>
        <w:jc w:val="both"/>
        <w:rPr>
          <w:rFonts w:ascii="Times New Roman" w:hAnsi="Times New Roman" w:cs="Times New Roman"/>
        </w:rPr>
      </w:pPr>
      <w:bookmarkStart w:id="6" w:name="P11678"/>
      <w:bookmarkEnd w:id="6"/>
      <w:r>
        <w:rPr>
          <w:rFonts w:cs="Times New Roman" w:ascii="Times New Roman" w:hAnsi="Times New Roman"/>
        </w:rPr>
        <w:t>12. Оценка эффективности использования иных межбюджетных трансфертов осуществляется департаментом образования и науки Брянской области на основании сравнения планируемого и достигнутого муниципальным образованием значений следующих результатов использования иного межбюджетного трансферта:</w:t>
      </w:r>
    </w:p>
    <w:p>
      <w:pPr>
        <w:pStyle w:val="ConsPlusNormal"/>
        <w:spacing w:before="220" w:after="0"/>
        <w:ind w:firstLine="540"/>
        <w:jc w:val="both"/>
        <w:rPr>
          <w:rFonts w:ascii="Times New Roman" w:hAnsi="Times New Roman" w:cs="Times New Roman"/>
        </w:rPr>
      </w:pPr>
      <w:r>
        <w:rPr>
          <w:rFonts w:cs="Times New Roman" w:ascii="Times New Roman" w:hAnsi="Times New Roman"/>
        </w:rPr>
        <w:t>а) количество дополнительных мест для детей в возрасте от 2 месяцев до 3 лет в организациях, осуществляющих образовательную деятельность по образовательным программам дошкольного образования, созданных в ходе реализации мероприятия;</w:t>
      </w:r>
    </w:p>
    <w:p>
      <w:pPr>
        <w:pStyle w:val="ConsPlusNormal"/>
        <w:spacing w:before="220" w:after="0"/>
        <w:ind w:firstLine="540"/>
        <w:jc w:val="both"/>
        <w:rPr>
          <w:rFonts w:ascii="Times New Roman" w:hAnsi="Times New Roman" w:cs="Times New Roman"/>
        </w:rPr>
      </w:pPr>
      <w:r>
        <w:rPr>
          <w:rFonts w:cs="Times New Roman" w:ascii="Times New Roman" w:hAnsi="Times New Roman"/>
        </w:rPr>
        <w:t>б) доступность дошкольного образования для детей в возрасте от 2 месяцев до 3 лет (отношение численности детей в возрасте от 2 месяцев до 3 лет, получающих дошкольное образование в текущем году, к сумме численности детей в возрасте от 2 месяцев до 3 лет, получающих дошкольное образование в текущем году, и численности детей в возрасте от 2 месяцев до 3 лет, находящихся в очереди на получение в текущем году дошкольного образования) (в процентах).</w:t>
      </w:r>
    </w:p>
    <w:p>
      <w:pPr>
        <w:pStyle w:val="ConsPlusNormal"/>
        <w:spacing w:before="220" w:after="0"/>
        <w:ind w:firstLine="540"/>
        <w:jc w:val="both"/>
        <w:rPr>
          <w:rFonts w:ascii="Times New Roman" w:hAnsi="Times New Roman" w:cs="Times New Roman"/>
        </w:rPr>
      </w:pPr>
      <w:bookmarkStart w:id="7" w:name="P11682"/>
      <w:bookmarkEnd w:id="7"/>
      <w:r>
        <w:rPr>
          <w:rFonts w:cs="Times New Roman" w:ascii="Times New Roman" w:hAnsi="Times New Roman"/>
        </w:rPr>
        <w:t xml:space="preserve">13. В случае если муниципальным образованием по состоянию на 31 декабря соответствующего финансового года предоставления иного межбюджетного трансферта допущены нарушения обязательств по достижении показателей результативности (результатов) использования иного межбюджетного трансферта, предусмотренные соглашением в соответствии с </w:t>
      </w:r>
      <w:hyperlink w:anchor="P11678">
        <w:r>
          <w:rPr>
            <w:rFonts w:cs="Times New Roman" w:ascii="Times New Roman" w:hAnsi="Times New Roman"/>
          </w:rPr>
          <w:t>пунктом 12</w:t>
        </w:r>
      </w:hyperlink>
      <w:r>
        <w:rPr>
          <w:rFonts w:cs="Times New Roman" w:ascii="Times New Roman" w:hAnsi="Times New Roman"/>
        </w:rPr>
        <w:t xml:space="preserve"> настоящего Порядка, и до первой даты предоставления отчетности о достижении значений результатов использования иного межбюджетного трансферта в соответствии с соглашением в году, следующем за годом предоставления иного межбюджетного трансферта, указанные нарушения не устранены, объем средств, подлежащий возврату из муниципального образования в областной бюджет в срок до 1 июня года, следующего за годом предоставления иного межбюджетного трансферта (Vвозврата), рассчитывается по формуле:</w:t>
      </w:r>
    </w:p>
    <w:p>
      <w:pPr>
        <w:pStyle w:val="ConsPlusNormal"/>
        <w:jc w:val="center"/>
        <w:rPr>
          <w:rFonts w:ascii="Times New Roman" w:hAnsi="Times New Roman" w:cs="Times New Roman"/>
        </w:rPr>
      </w:pPr>
      <w:r>
        <w:rPr>
          <w:rFonts w:cs="Times New Roman" w:ascii="Times New Roman" w:hAnsi="Times New Roman"/>
        </w:rPr>
      </w:r>
    </w:p>
    <w:p>
      <w:pPr>
        <w:pStyle w:val="ConsPlusNormal"/>
        <w:jc w:val="center"/>
        <w:rPr>
          <w:rFonts w:ascii="Times New Roman" w:hAnsi="Times New Roman" w:cs="Times New Roman"/>
        </w:rPr>
      </w:pPr>
      <w:r>
        <w:rPr>
          <w:rFonts w:cs="Times New Roman" w:ascii="Times New Roman" w:hAnsi="Times New Roman"/>
        </w:rPr>
        <w:t>V</w:t>
      </w:r>
      <w:r>
        <w:rPr>
          <w:rFonts w:cs="Times New Roman" w:ascii="Times New Roman" w:hAnsi="Times New Roman"/>
          <w:vertAlign w:val="subscript"/>
        </w:rPr>
        <w:t>возврата</w:t>
      </w:r>
      <w:r>
        <w:rPr>
          <w:rFonts w:cs="Times New Roman" w:ascii="Times New Roman" w:hAnsi="Times New Roman"/>
        </w:rPr>
        <w:t xml:space="preserve"> = (V</w:t>
      </w:r>
      <w:r>
        <w:rPr>
          <w:rFonts w:cs="Times New Roman" w:ascii="Times New Roman" w:hAnsi="Times New Roman"/>
          <w:vertAlign w:val="subscript"/>
        </w:rPr>
        <w:t>имт</w:t>
      </w:r>
      <w:r>
        <w:rPr>
          <w:rFonts w:cs="Times New Roman" w:ascii="Times New Roman" w:hAnsi="Times New Roman"/>
        </w:rPr>
        <w:t xml:space="preserve"> x k x m / n) x 0,1, где:</w:t>
      </w:r>
    </w:p>
    <w:p>
      <w:pPr>
        <w:pStyle w:val="ConsPlusNormal"/>
        <w:jc w:val="center"/>
        <w:rPr>
          <w:rFonts w:ascii="Times New Roman" w:hAnsi="Times New Roman" w:cs="Times New Roman"/>
        </w:rPr>
      </w:pPr>
      <w:r>
        <w:rPr>
          <w:rFonts w:cs="Times New Roman" w:ascii="Times New Roman" w:hAnsi="Times New Roman"/>
        </w:rPr>
      </w:r>
    </w:p>
    <w:p>
      <w:pPr>
        <w:pStyle w:val="ConsPlusNormal"/>
        <w:ind w:firstLine="540"/>
        <w:jc w:val="both"/>
        <w:rPr>
          <w:rFonts w:ascii="Times New Roman" w:hAnsi="Times New Roman" w:cs="Times New Roman"/>
        </w:rPr>
      </w:pPr>
      <w:r>
        <w:rPr>
          <w:rFonts w:cs="Times New Roman" w:ascii="Times New Roman" w:hAnsi="Times New Roman"/>
        </w:rPr>
        <w:t>V</w:t>
      </w:r>
      <w:r>
        <w:rPr>
          <w:rFonts w:cs="Times New Roman" w:ascii="Times New Roman" w:hAnsi="Times New Roman"/>
          <w:vertAlign w:val="subscript"/>
        </w:rPr>
        <w:t>имт</w:t>
      </w:r>
      <w:r>
        <w:rPr>
          <w:rFonts w:cs="Times New Roman" w:ascii="Times New Roman" w:hAnsi="Times New Roman"/>
        </w:rPr>
        <w:t xml:space="preserve"> - размер иных межбюджетных трансфертов, предоставленной бюджету муниципального образования в отчетном финансовом году;</w:t>
      </w:r>
    </w:p>
    <w:p>
      <w:pPr>
        <w:pStyle w:val="ConsPlusNormal"/>
        <w:spacing w:before="220" w:after="0"/>
        <w:ind w:firstLine="540"/>
        <w:jc w:val="both"/>
        <w:rPr>
          <w:rFonts w:ascii="Times New Roman" w:hAnsi="Times New Roman" w:cs="Times New Roman"/>
        </w:rPr>
      </w:pPr>
      <w:r>
        <w:rPr>
          <w:rFonts w:cs="Times New Roman" w:ascii="Times New Roman" w:hAnsi="Times New Roman"/>
        </w:rPr>
        <w:t>m - количество результатов использования иного межбюджетного трансферта, по которым индекс, отражающий уровень недостижения i-го результата использования иного межбюджетного трансферта, имеет положительное значение;</w:t>
      </w:r>
    </w:p>
    <w:p>
      <w:pPr>
        <w:pStyle w:val="ConsPlusNormal"/>
        <w:spacing w:before="220" w:after="0"/>
        <w:ind w:firstLine="540"/>
        <w:jc w:val="both"/>
        <w:rPr>
          <w:rFonts w:ascii="Times New Roman" w:hAnsi="Times New Roman" w:cs="Times New Roman"/>
        </w:rPr>
      </w:pPr>
      <w:r>
        <w:rPr>
          <w:rFonts w:cs="Times New Roman" w:ascii="Times New Roman" w:hAnsi="Times New Roman"/>
        </w:rPr>
        <w:t>n - общее количество (результатов использования иного межбюджетного трансферта;</w:t>
      </w:r>
    </w:p>
    <w:p>
      <w:pPr>
        <w:pStyle w:val="ConsPlusNormal"/>
        <w:spacing w:before="220" w:after="0"/>
        <w:ind w:firstLine="540"/>
        <w:jc w:val="both"/>
        <w:rPr>
          <w:rFonts w:ascii="Times New Roman" w:hAnsi="Times New Roman" w:cs="Times New Roman"/>
        </w:rPr>
      </w:pPr>
      <w:r>
        <w:rPr>
          <w:rFonts w:cs="Times New Roman" w:ascii="Times New Roman" w:hAnsi="Times New Roman"/>
        </w:rPr>
        <w:t>k - коэффициент возврата иного межбюджетного трансферта.</w:t>
      </w:r>
    </w:p>
    <w:p>
      <w:pPr>
        <w:pStyle w:val="ConsPlusNormal"/>
        <w:spacing w:before="220" w:after="0"/>
        <w:ind w:firstLine="540"/>
        <w:jc w:val="both"/>
        <w:rPr>
          <w:rFonts w:ascii="Times New Roman" w:hAnsi="Times New Roman" w:cs="Times New Roman"/>
        </w:rPr>
      </w:pPr>
      <w:r>
        <w:rPr>
          <w:rFonts w:cs="Times New Roman" w:ascii="Times New Roman" w:hAnsi="Times New Roman"/>
        </w:rPr>
        <w:t>При расчете объема средств, подлежащих возврату из бюджета муниципального образования в областной бюджет, в размере иного межбюджетного трансферта, предоставленного бюджету муниципального образования в отчетном финансовом году (V</w:t>
      </w:r>
      <w:r>
        <w:rPr>
          <w:rFonts w:cs="Times New Roman" w:ascii="Times New Roman" w:hAnsi="Times New Roman"/>
          <w:vertAlign w:val="subscript"/>
        </w:rPr>
        <w:t>имт</w:t>
      </w:r>
      <w:r>
        <w:rPr>
          <w:rFonts w:cs="Times New Roman" w:ascii="Times New Roman" w:hAnsi="Times New Roman"/>
        </w:rPr>
        <w:t>), не учитывается размер остатка иного межбюджетного трансферта, не использованного по состоянию на 1 января текущего финансового года, потребность в котором не подтверждена главным администратором доходов областного бюджета, осуществляющим администрирование доходов областного бюджета от возврата остатков иного межбюджетного трансферта.</w:t>
      </w:r>
    </w:p>
    <w:p>
      <w:pPr>
        <w:pStyle w:val="ConsPlusNormal"/>
        <w:spacing w:before="220" w:after="0"/>
        <w:ind w:firstLine="540"/>
        <w:jc w:val="both"/>
        <w:rPr>
          <w:rFonts w:ascii="Times New Roman" w:hAnsi="Times New Roman" w:cs="Times New Roman"/>
        </w:rPr>
      </w:pPr>
      <w:r>
        <w:rPr>
          <w:rFonts w:cs="Times New Roman" w:ascii="Times New Roman" w:hAnsi="Times New Roman"/>
        </w:rPr>
        <w:t>Коэффициент возврата иного межбюджетного трансферта (k), рассчитывается по формуле:</w:t>
      </w:r>
    </w:p>
    <w:p>
      <w:pPr>
        <w:pStyle w:val="ConsPlusNormal"/>
        <w:ind w:firstLine="540"/>
        <w:jc w:val="both"/>
        <w:rPr>
          <w:rFonts w:ascii="Times New Roman" w:hAnsi="Times New Roman" w:cs="Times New Roman"/>
        </w:rPr>
      </w:pPr>
      <w:r>
        <w:rPr>
          <w:rFonts w:cs="Times New Roman" w:ascii="Times New Roman" w:hAnsi="Times New Roman"/>
        </w:rPr>
      </w:r>
    </w:p>
    <w:p>
      <w:pPr>
        <w:pStyle w:val="ConsPlusNormal"/>
        <w:jc w:val="center"/>
        <w:rPr>
          <w:rFonts w:ascii="Times New Roman" w:hAnsi="Times New Roman" w:cs="Times New Roman"/>
          <w:lang w:val="en-US"/>
        </w:rPr>
      </w:pPr>
      <w:r>
        <w:rPr>
          <w:rFonts w:cs="Times New Roman" w:ascii="Times New Roman" w:hAnsi="Times New Roman"/>
          <w:lang w:val="en-US"/>
        </w:rPr>
        <w:t xml:space="preserve">k = SUM Di / m, </w:t>
      </w:r>
      <w:r>
        <w:rPr>
          <w:rFonts w:cs="Times New Roman" w:ascii="Times New Roman" w:hAnsi="Times New Roman"/>
        </w:rPr>
        <w:t>где</w:t>
      </w:r>
      <w:r>
        <w:rPr>
          <w:rFonts w:cs="Times New Roman" w:ascii="Times New Roman" w:hAnsi="Times New Roman"/>
          <w:lang w:val="en-US"/>
        </w:rPr>
        <w:t>:</w:t>
      </w:r>
    </w:p>
    <w:p>
      <w:pPr>
        <w:pStyle w:val="ConsPlusNormal"/>
        <w:ind w:firstLine="540"/>
        <w:jc w:val="both"/>
        <w:rPr>
          <w:rFonts w:ascii="Times New Roman" w:hAnsi="Times New Roman" w:cs="Times New Roman"/>
          <w:lang w:val="en-US"/>
        </w:rPr>
      </w:pPr>
      <w:r>
        <w:rPr>
          <w:rFonts w:cs="Times New Roman" w:ascii="Times New Roman" w:hAnsi="Times New Roman"/>
          <w:lang w:val="en-US"/>
        </w:rPr>
      </w:r>
    </w:p>
    <w:p>
      <w:pPr>
        <w:pStyle w:val="ConsPlusNormal"/>
        <w:ind w:firstLine="540"/>
        <w:jc w:val="both"/>
        <w:rPr>
          <w:rFonts w:ascii="Times New Roman" w:hAnsi="Times New Roman" w:cs="Times New Roman"/>
        </w:rPr>
      </w:pPr>
      <w:r>
        <w:rPr>
          <w:rFonts w:cs="Times New Roman" w:ascii="Times New Roman" w:hAnsi="Times New Roman"/>
        </w:rPr>
        <w:t>Di - индекс, отражающий уровень недостижения i-го результата использования иного межбюджетного трансферта.</w:t>
      </w:r>
    </w:p>
    <w:p>
      <w:pPr>
        <w:pStyle w:val="ConsPlusNormal"/>
        <w:spacing w:before="220" w:after="0"/>
        <w:ind w:firstLine="540"/>
        <w:jc w:val="both"/>
        <w:rPr>
          <w:rFonts w:ascii="Times New Roman" w:hAnsi="Times New Roman" w:cs="Times New Roman"/>
        </w:rPr>
      </w:pPr>
      <w:r>
        <w:rPr>
          <w:rFonts w:cs="Times New Roman" w:ascii="Times New Roman" w:hAnsi="Times New Roman"/>
        </w:rPr>
        <w:t>При расчете коэффициента возврата иного межбюджетного трансферта используются только положительные значения индекса, отражающего уровень недостижения i-го результата использования иного межбюджетного трансферта.</w:t>
      </w:r>
    </w:p>
    <w:p>
      <w:pPr>
        <w:pStyle w:val="ConsPlusNormal"/>
        <w:spacing w:before="220" w:after="0"/>
        <w:ind w:firstLine="540"/>
        <w:jc w:val="both"/>
        <w:rPr>
          <w:rFonts w:ascii="Times New Roman" w:hAnsi="Times New Roman" w:cs="Times New Roman"/>
        </w:rPr>
      </w:pPr>
      <w:r>
        <w:rPr>
          <w:rFonts w:cs="Times New Roman" w:ascii="Times New Roman" w:hAnsi="Times New Roman"/>
        </w:rPr>
        <w:t>Индекс, отражающий уровень недостижения i-го результата использования иного межбюджетного трансферта (Di), определяется:</w:t>
      </w:r>
    </w:p>
    <w:p>
      <w:pPr>
        <w:pStyle w:val="ConsPlusNormal"/>
        <w:spacing w:before="220" w:after="0"/>
        <w:ind w:firstLine="540"/>
        <w:jc w:val="both"/>
        <w:rPr>
          <w:rFonts w:ascii="Times New Roman" w:hAnsi="Times New Roman" w:cs="Times New Roman"/>
        </w:rPr>
      </w:pPr>
      <w:r>
        <w:rPr>
          <w:rFonts w:cs="Times New Roman" w:ascii="Times New Roman" w:hAnsi="Times New Roman"/>
        </w:rPr>
        <w:t>а) для результатов использования иного межбюджетного трансферта, по которым большее значение фактически достигнутого значения отражает большую эффективность использования иного межбюджетного трансферта, - по формуле:</w:t>
      </w:r>
    </w:p>
    <w:p>
      <w:pPr>
        <w:pStyle w:val="ConsPlusNormal"/>
        <w:ind w:firstLine="540"/>
        <w:jc w:val="both"/>
        <w:rPr>
          <w:rFonts w:ascii="Times New Roman" w:hAnsi="Times New Roman" w:cs="Times New Roman"/>
        </w:rPr>
      </w:pPr>
      <w:r>
        <w:rPr>
          <w:rFonts w:cs="Times New Roman" w:ascii="Times New Roman" w:hAnsi="Times New Roman"/>
        </w:rPr>
      </w:r>
    </w:p>
    <w:p>
      <w:pPr>
        <w:pStyle w:val="ConsPlusNormal"/>
        <w:jc w:val="center"/>
        <w:rPr>
          <w:rFonts w:ascii="Times New Roman" w:hAnsi="Times New Roman" w:cs="Times New Roman"/>
        </w:rPr>
      </w:pPr>
      <w:r>
        <w:rPr>
          <w:rFonts w:cs="Times New Roman" w:ascii="Times New Roman" w:hAnsi="Times New Roman"/>
        </w:rPr>
        <w:t>Di = 1 - Ti / Si, где:</w:t>
      </w:r>
    </w:p>
    <w:p>
      <w:pPr>
        <w:pStyle w:val="ConsPlusNormal"/>
        <w:ind w:firstLine="540"/>
        <w:jc w:val="both"/>
        <w:rPr>
          <w:rFonts w:ascii="Times New Roman" w:hAnsi="Times New Roman" w:cs="Times New Roman"/>
        </w:rPr>
      </w:pPr>
      <w:r>
        <w:rPr>
          <w:rFonts w:cs="Times New Roman" w:ascii="Times New Roman" w:hAnsi="Times New Roman"/>
        </w:rPr>
      </w:r>
    </w:p>
    <w:p>
      <w:pPr>
        <w:pStyle w:val="ConsPlusNormal"/>
        <w:ind w:firstLine="540"/>
        <w:jc w:val="both"/>
        <w:rPr>
          <w:rFonts w:ascii="Times New Roman" w:hAnsi="Times New Roman" w:cs="Times New Roman"/>
        </w:rPr>
      </w:pPr>
      <w:r>
        <w:rPr>
          <w:rFonts w:cs="Times New Roman" w:ascii="Times New Roman" w:hAnsi="Times New Roman"/>
        </w:rPr>
        <w:t>Ti - фактически достигнутое значение i-го результата использования иного межбюджетного трансферта на отчетную дату;</w:t>
      </w:r>
    </w:p>
    <w:p>
      <w:pPr>
        <w:pStyle w:val="ConsPlusNormal"/>
        <w:spacing w:before="220" w:after="0"/>
        <w:ind w:firstLine="540"/>
        <w:jc w:val="both"/>
        <w:rPr>
          <w:rFonts w:ascii="Times New Roman" w:hAnsi="Times New Roman" w:cs="Times New Roman"/>
        </w:rPr>
      </w:pPr>
      <w:r>
        <w:rPr>
          <w:rFonts w:cs="Times New Roman" w:ascii="Times New Roman" w:hAnsi="Times New Roman"/>
        </w:rPr>
        <w:t>Si - плановое значение i-го результата использования иного межбюджетного трансферта, установленное соглашением;</w:t>
      </w:r>
    </w:p>
    <w:p>
      <w:pPr>
        <w:pStyle w:val="ConsPlusNormal"/>
        <w:spacing w:before="220" w:after="0"/>
        <w:ind w:firstLine="540"/>
        <w:jc w:val="both"/>
        <w:rPr>
          <w:rFonts w:ascii="Times New Roman" w:hAnsi="Times New Roman" w:cs="Times New Roman"/>
        </w:rPr>
      </w:pPr>
      <w:r>
        <w:rPr>
          <w:rFonts w:cs="Times New Roman" w:ascii="Times New Roman" w:hAnsi="Times New Roman"/>
        </w:rPr>
        <w:t>б) для результатов использования иного межбюджетного трансферта, по которым большее значение фактически достигнутого значения отражает меньшую эффективность использования иного межбюджетного трансферта, - по формуле:</w:t>
      </w:r>
    </w:p>
    <w:p>
      <w:pPr>
        <w:pStyle w:val="ConsPlusNormal"/>
        <w:ind w:firstLine="540"/>
        <w:jc w:val="both"/>
        <w:rPr>
          <w:rFonts w:ascii="Times New Roman" w:hAnsi="Times New Roman" w:cs="Times New Roman"/>
        </w:rPr>
      </w:pPr>
      <w:r>
        <w:rPr>
          <w:rFonts w:cs="Times New Roman" w:ascii="Times New Roman" w:hAnsi="Times New Roman"/>
        </w:rPr>
      </w:r>
    </w:p>
    <w:p>
      <w:pPr>
        <w:pStyle w:val="ConsPlusNormal"/>
        <w:jc w:val="center"/>
        <w:rPr>
          <w:rFonts w:ascii="Times New Roman" w:hAnsi="Times New Roman" w:cs="Times New Roman"/>
        </w:rPr>
      </w:pPr>
      <w:r>
        <w:rPr>
          <w:rFonts w:cs="Times New Roman" w:ascii="Times New Roman" w:hAnsi="Times New Roman"/>
        </w:rPr>
        <w:t>Di = 1 - Si / Ti</w:t>
      </w:r>
    </w:p>
    <w:p>
      <w:pPr>
        <w:pStyle w:val="ConsPlusNormal"/>
        <w:jc w:val="center"/>
        <w:rPr>
          <w:rFonts w:ascii="Times New Roman" w:hAnsi="Times New Roman" w:cs="Times New Roman"/>
        </w:rPr>
      </w:pPr>
      <w:r>
        <w:rPr>
          <w:rFonts w:cs="Times New Roman" w:ascii="Times New Roman" w:hAnsi="Times New Roman"/>
        </w:rPr>
      </w:r>
    </w:p>
    <w:p>
      <w:pPr>
        <w:pStyle w:val="ConsPlusNormal"/>
        <w:ind w:firstLine="540"/>
        <w:jc w:val="both"/>
        <w:rPr>
          <w:rFonts w:ascii="Times New Roman" w:hAnsi="Times New Roman" w:cs="Times New Roman"/>
        </w:rPr>
      </w:pPr>
      <w:bookmarkStart w:id="8" w:name="P11713"/>
      <w:bookmarkEnd w:id="8"/>
      <w:r>
        <w:rPr>
          <w:rFonts w:cs="Times New Roman" w:ascii="Times New Roman" w:hAnsi="Times New Roman"/>
        </w:rPr>
        <w:t xml:space="preserve">14. В случае если муниципальным образованием по состоянию на 31 декабря соответствующего финансового года предоставления иного межбюджетного трансферта допущены нарушения обязательств, предусмотренных графиком выполнения мероприятий, указанных в </w:t>
      </w:r>
      <w:hyperlink w:anchor="P11653">
        <w:r>
          <w:rPr>
            <w:rFonts w:cs="Times New Roman" w:ascii="Times New Roman" w:hAnsi="Times New Roman"/>
          </w:rPr>
          <w:t>пункте 2</w:t>
        </w:r>
      </w:hyperlink>
      <w:r>
        <w:rPr>
          <w:rFonts w:cs="Times New Roman" w:ascii="Times New Roman" w:hAnsi="Times New Roman"/>
        </w:rPr>
        <w:t xml:space="preserve"> настоящего Порядка, и в срок до 1 апреля года, следующего за годом предоставления иного межбюджетного трансферта, указанные нарушения не устранены, объем средств, соответствующий 10 процентам объема средств, предусмотренного на год, в котором допущены нарушения указанных обязательств, без учета размера остатка иного межбюджетного трансферта, не использованного по состоянию на 1 января текущего финансового года, потребность в котором не подтверждена главным администратором бюджетных средств, подлежит возврату из местного бюджета в доход областного бюджета в срок до 1 июня года, следующего за годом предоставления иного межбюджетного трансферта, если органом местного самоуправления, допустившего нарушение соответствующих обязательств, не позднее 15 апреля года, следующего за годом предоставления иного межбюджетного трансферта, не представлены документы, предусмотренные </w:t>
      </w:r>
      <w:hyperlink w:anchor="P11715">
        <w:r>
          <w:rPr>
            <w:rFonts w:cs="Times New Roman" w:ascii="Times New Roman" w:hAnsi="Times New Roman"/>
          </w:rPr>
          <w:t>пунктом 15</w:t>
        </w:r>
      </w:hyperlink>
      <w:r>
        <w:rPr>
          <w:rFonts w:cs="Times New Roman" w:ascii="Times New Roman" w:hAnsi="Times New Roman"/>
        </w:rPr>
        <w:t xml:space="preserve"> настоящего Порядка.</w:t>
      </w:r>
    </w:p>
    <w:p>
      <w:pPr>
        <w:pStyle w:val="ConsPlusNormal"/>
        <w:spacing w:before="220" w:after="0"/>
        <w:ind w:firstLine="540"/>
        <w:jc w:val="both"/>
        <w:rPr>
          <w:rFonts w:ascii="Times New Roman" w:hAnsi="Times New Roman" w:cs="Times New Roman"/>
        </w:rPr>
      </w:pPr>
      <w:r>
        <w:rPr>
          <w:rFonts w:cs="Times New Roman" w:ascii="Times New Roman" w:hAnsi="Times New Roman"/>
        </w:rPr>
        <w:t xml:space="preserve">В случае одновременного нарушения муниципальным образованием обязательств, предусмотренных соглашением в соответствии с </w:t>
      </w:r>
      <w:hyperlink w:anchor="P11678">
        <w:r>
          <w:rPr>
            <w:rFonts w:cs="Times New Roman" w:ascii="Times New Roman" w:hAnsi="Times New Roman"/>
          </w:rPr>
          <w:t>пунктом 12</w:t>
        </w:r>
      </w:hyperlink>
      <w:r>
        <w:rPr>
          <w:rFonts w:cs="Times New Roman" w:ascii="Times New Roman" w:hAnsi="Times New Roman"/>
        </w:rPr>
        <w:t xml:space="preserve"> настоящего Порядка и графиком выполнения мероприятий, возврату подлежит объем средств, соответствующий размеру иного межбюджетного трансферта, определенный в соответствии с </w:t>
      </w:r>
      <w:hyperlink w:anchor="P11713">
        <w:r>
          <w:rPr>
            <w:rFonts w:cs="Times New Roman" w:ascii="Times New Roman" w:hAnsi="Times New Roman"/>
          </w:rPr>
          <w:t>абзацем первым</w:t>
        </w:r>
      </w:hyperlink>
      <w:r>
        <w:rPr>
          <w:rFonts w:cs="Times New Roman" w:ascii="Times New Roman" w:hAnsi="Times New Roman"/>
        </w:rPr>
        <w:t xml:space="preserve"> настоящего пункта.</w:t>
      </w:r>
    </w:p>
    <w:p>
      <w:pPr>
        <w:pStyle w:val="ConsPlusNormal"/>
        <w:spacing w:before="220" w:after="0"/>
        <w:ind w:firstLine="540"/>
        <w:jc w:val="both"/>
        <w:rPr>
          <w:rFonts w:ascii="Times New Roman" w:hAnsi="Times New Roman" w:cs="Times New Roman"/>
        </w:rPr>
      </w:pPr>
      <w:bookmarkStart w:id="9" w:name="P11715"/>
      <w:bookmarkEnd w:id="9"/>
      <w:r>
        <w:rPr>
          <w:rFonts w:cs="Times New Roman" w:ascii="Times New Roman" w:hAnsi="Times New Roman"/>
        </w:rPr>
        <w:t xml:space="preserve">15. Основанием для освобождения муниципальных образований от применения мер ответственности, предусмотренных </w:t>
      </w:r>
      <w:hyperlink w:anchor="P11682">
        <w:r>
          <w:rPr>
            <w:rFonts w:cs="Times New Roman" w:ascii="Times New Roman" w:hAnsi="Times New Roman"/>
          </w:rPr>
          <w:t>пунктами 13</w:t>
        </w:r>
      </w:hyperlink>
      <w:r>
        <w:rPr>
          <w:rFonts w:cs="Times New Roman" w:ascii="Times New Roman" w:hAnsi="Times New Roman"/>
        </w:rPr>
        <w:t xml:space="preserve">, </w:t>
      </w:r>
      <w:hyperlink w:anchor="P11713">
        <w:r>
          <w:rPr>
            <w:rFonts w:cs="Times New Roman" w:ascii="Times New Roman" w:hAnsi="Times New Roman"/>
          </w:rPr>
          <w:t>14</w:t>
        </w:r>
      </w:hyperlink>
      <w:r>
        <w:rPr>
          <w:rFonts w:cs="Times New Roman" w:ascii="Times New Roman" w:hAnsi="Times New Roman"/>
        </w:rPr>
        <w:t xml:space="preserve"> настоящего Порядка, является документально подтвержденное наступление обстоятельств непреодолимой силы, препятствующих исполнению соответствующих обязательств. В случае отсутствия оснований для освобождения муниципальных образований Брянской области от применения мер ответственности, предусмотренных пунктами 13, 14 настоящего Порядка, департамент строительства Брянской области не позднее 20 апреля года, следующего за годом предоставления иного межбюджетного трансферта, представляет в департамент финансов Брянской области предложения о перераспределении средств, подлежащих возврату в доход областного бюджета в соответствии с пунктами 13, 14 настоящего Порядка.</w:t>
      </w:r>
    </w:p>
    <w:p>
      <w:pPr>
        <w:pStyle w:val="ConsPlusNormal"/>
        <w:spacing w:before="220" w:after="0"/>
        <w:ind w:firstLine="540"/>
        <w:jc w:val="both"/>
        <w:rPr>
          <w:rFonts w:ascii="Times New Roman" w:hAnsi="Times New Roman" w:cs="Times New Roman"/>
        </w:rPr>
      </w:pPr>
      <w:r>
        <w:rPr>
          <w:rFonts w:cs="Times New Roman" w:ascii="Times New Roman" w:hAnsi="Times New Roman"/>
        </w:rPr>
        <w:t>16. Главный распорядитель указанных иных межбюджетных трансфертов вправе вносить предложения о перераспределении иных межбюджетных трансфертов между муниципальными образованиями.</w:t>
      </w:r>
    </w:p>
    <w:p>
      <w:pPr>
        <w:pStyle w:val="ConsPlusNormal"/>
        <w:spacing w:before="220" w:after="0"/>
        <w:ind w:firstLine="540"/>
        <w:jc w:val="both"/>
        <w:rPr>
          <w:rFonts w:ascii="Times New Roman" w:hAnsi="Times New Roman" w:cs="Times New Roman"/>
        </w:rPr>
      </w:pPr>
      <w:r>
        <w:rPr>
          <w:rFonts w:cs="Times New Roman" w:ascii="Times New Roman" w:hAnsi="Times New Roman"/>
        </w:rPr>
        <w:t>Уполномоченный орган местного самоуправления предоставляет главному распорядителю средств областного бюджета документы, подтверждающие проводимые расходы в соответствии с заключенным соглашением о предоставлении иного межбюджетного трансферта бюджету муниципального образования.</w:t>
      </w:r>
    </w:p>
    <w:p>
      <w:pPr>
        <w:pStyle w:val="ConsPlusNormal"/>
        <w:spacing w:before="220" w:after="0"/>
        <w:ind w:firstLine="540"/>
        <w:jc w:val="both"/>
        <w:rPr>
          <w:rFonts w:ascii="Times New Roman" w:hAnsi="Times New Roman" w:cs="Times New Roman"/>
        </w:rPr>
      </w:pPr>
      <w:r>
        <w:rPr>
          <w:rFonts w:cs="Times New Roman" w:ascii="Times New Roman" w:hAnsi="Times New Roman"/>
        </w:rPr>
        <w:t>17. Уполномоченные органы местного самоуправления муниципальных образований несут ответственность за целевое и эффективное использование бюджетных средств, а также за объемы и стоимость выполненных и оплаченных работ на объектах. Департамент строительства Брянской области осуществляет контроль за целевым использованием бюджетных средств, в том числе через ГКУ "Управление капитального строительства Брянской области".</w:t>
      </w:r>
    </w:p>
    <w:p>
      <w:pPr>
        <w:pStyle w:val="ConsPlusNormal"/>
        <w:spacing w:before="220" w:after="0"/>
        <w:ind w:firstLine="540"/>
        <w:jc w:val="both"/>
        <w:rPr>
          <w:rFonts w:ascii="Times New Roman" w:hAnsi="Times New Roman" w:cs="Times New Roman"/>
        </w:rPr>
      </w:pPr>
      <w:r>
        <w:rPr>
          <w:rFonts w:cs="Times New Roman" w:ascii="Times New Roman" w:hAnsi="Times New Roman"/>
        </w:rPr>
        <w:t xml:space="preserve">18. В случае нецелевого использования иного межбюджетного трансферта и (или) нарушения муниципальным образованием условий его предоставления, в том числе невозврата муниципальным образованием средств в областной бюджет в соответствии с </w:t>
      </w:r>
      <w:hyperlink w:anchor="P11682">
        <w:r>
          <w:rPr>
            <w:rFonts w:cs="Times New Roman" w:ascii="Times New Roman" w:hAnsi="Times New Roman"/>
          </w:rPr>
          <w:t>пунктами 13</w:t>
        </w:r>
      </w:hyperlink>
      <w:r>
        <w:rPr>
          <w:rFonts w:cs="Times New Roman" w:ascii="Times New Roman" w:hAnsi="Times New Roman"/>
        </w:rPr>
        <w:t xml:space="preserve">, </w:t>
      </w:r>
      <w:hyperlink w:anchor="P11713">
        <w:r>
          <w:rPr>
            <w:rFonts w:cs="Times New Roman" w:ascii="Times New Roman" w:hAnsi="Times New Roman"/>
          </w:rPr>
          <w:t>14</w:t>
        </w:r>
      </w:hyperlink>
      <w:r>
        <w:rPr>
          <w:rFonts w:cs="Times New Roman" w:ascii="Times New Roman" w:hAnsi="Times New Roman"/>
        </w:rPr>
        <w:t xml:space="preserve"> настоящего Порядка, к нему применяются бюджетные меры принуждения, предусмотренные бюджетным законодательством Российской Федерации.</w:t>
      </w:r>
    </w:p>
    <w:p>
      <w:pPr>
        <w:pStyle w:val="ConsPlusNormal"/>
        <w:spacing w:before="220" w:after="0"/>
        <w:ind w:firstLine="540"/>
        <w:jc w:val="both"/>
        <w:rPr>
          <w:rFonts w:ascii="Times New Roman" w:hAnsi="Times New Roman" w:cs="Times New Roman"/>
        </w:rPr>
      </w:pPr>
      <w:r>
        <w:rPr>
          <w:rFonts w:cs="Times New Roman" w:ascii="Times New Roman" w:hAnsi="Times New Roman"/>
        </w:rPr>
        <w:t>Решения о приостановлении перечисления (сокращении объема) иного межбюджетного трансферта бюджету муниципального образования не принимаются в случае, если условия предоставления иного межбюджетного трансферта были не выполнены в силу обстоятельств непреодолимой силы.</w:t>
      </w:r>
    </w:p>
    <w:p>
      <w:pPr>
        <w:pStyle w:val="ConsPlusNormal"/>
        <w:spacing w:before="220" w:after="0"/>
        <w:ind w:firstLine="540"/>
        <w:jc w:val="both"/>
        <w:rPr>
          <w:rFonts w:ascii="Times New Roman" w:hAnsi="Times New Roman" w:cs="Times New Roman"/>
        </w:rPr>
      </w:pPr>
      <w:r>
        <w:rPr>
          <w:rFonts w:cs="Times New Roman" w:ascii="Times New Roman" w:hAnsi="Times New Roman"/>
        </w:rPr>
        <w:t>19. Ответственность за достоверность представляемых сведений и за соблюдение условий, установленных настоящими Порядком и соглашением, возлагается на орган местного самоуправления муниципального образования.</w:t>
      </w:r>
    </w:p>
    <w:sectPr>
      <w:type w:val="nextPage"/>
      <w:pgSz w:w="11906" w:h="16838"/>
      <w:pgMar w:left="1701" w:right="851" w:header="0" w:top="851" w:footer="0" w:bottom="851" w:gutter="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Liberation Sans">
    <w:altName w:val="Arial"/>
    <w:charset w:val="cc"/>
    <w:family w:val="swiss"/>
    <w:pitch w:val="variable"/>
  </w:font>
  <w:font w:name="Courier New">
    <w:charset w:val="cc"/>
    <w:family w:val="roman"/>
    <w:pitch w:val="variable"/>
  </w:font>
  <w:font w:name="Tahoma">
    <w:charset w:val="cc"/>
    <w:family w:val="roman"/>
    <w:pitch w:val="variable"/>
  </w:font>
  <w:font w:name="Arial">
    <w:charset w:val="cc"/>
    <w:family w:val="roman"/>
    <w:pitch w:val="variable"/>
  </w:font>
  <w:font w:name="Times New Roman">
    <w:charset w:val="cc"/>
    <w:family w:val="roman"/>
    <w:pitch w:val="variable"/>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name w:val="Интернет-ссылка"/>
    <w:rPr>
      <w:color w:val="000080"/>
      <w:u w:val="single"/>
      <w:lang w:val="zxx" w:eastAsia="zxx" w:bidi="zxx"/>
    </w:rPr>
  </w:style>
  <w:style w:type="paragraph" w:styleId="Style15">
    <w:name w:val="Заголовок"/>
    <w:basedOn w:val="Normal"/>
    <w:next w:val="Style16"/>
    <w:qFormat/>
    <w:pPr>
      <w:keepNext w:val="true"/>
      <w:spacing w:before="240" w:after="120"/>
    </w:pPr>
    <w:rPr>
      <w:rFonts w:ascii="Liberation Sans" w:hAnsi="Liberation Sans" w:eastAsia="Microsoft YaHei" w:cs="Arial Unicode MS"/>
      <w:sz w:val="28"/>
      <w:szCs w:val="28"/>
    </w:rPr>
  </w:style>
  <w:style w:type="paragraph" w:styleId="Style16">
    <w:name w:val="Body Text"/>
    <w:basedOn w:val="Normal"/>
    <w:pPr>
      <w:spacing w:lineRule="auto" w:line="276" w:before="0" w:after="140"/>
    </w:pPr>
    <w:rPr/>
  </w:style>
  <w:style w:type="paragraph" w:styleId="Style17">
    <w:name w:val="List"/>
    <w:basedOn w:val="Style16"/>
    <w:pPr/>
    <w:rPr>
      <w:rFonts w:cs="Arial Unicode MS"/>
    </w:rPr>
  </w:style>
  <w:style w:type="paragraph" w:styleId="Style18">
    <w:name w:val="Caption"/>
    <w:basedOn w:val="Normal"/>
    <w:qFormat/>
    <w:pPr>
      <w:suppressLineNumbers/>
      <w:spacing w:before="120" w:after="120"/>
    </w:pPr>
    <w:rPr>
      <w:rFonts w:cs="Arial Unicode MS"/>
      <w:i/>
      <w:iCs/>
      <w:sz w:val="24"/>
      <w:szCs w:val="24"/>
    </w:rPr>
  </w:style>
  <w:style w:type="paragraph" w:styleId="Style19">
    <w:name w:val="Указатель"/>
    <w:basedOn w:val="Normal"/>
    <w:qFormat/>
    <w:pPr>
      <w:suppressLineNumbers/>
    </w:pPr>
    <w:rPr>
      <w:rFonts w:cs="Arial Unicode MS"/>
    </w:rPr>
  </w:style>
  <w:style w:type="paragraph" w:styleId="ConsPlusNormal" w:customStyle="1">
    <w:name w:val="ConsPlusNormal"/>
    <w:qFormat/>
    <w:rsid w:val="002309da"/>
    <w:pPr>
      <w:widowControl w:val="false"/>
      <w:bidi w:val="0"/>
      <w:spacing w:lineRule="auto" w:line="240" w:before="0" w:after="0"/>
      <w:jc w:val="left"/>
    </w:pPr>
    <w:rPr>
      <w:rFonts w:ascii="Calibri" w:hAnsi="Calibri" w:eastAsia="Times New Roman" w:cs="Calibri" w:asciiTheme="minorHAnsi" w:hAnsiTheme="minorHAnsi"/>
      <w:color w:val="auto"/>
      <w:kern w:val="0"/>
      <w:sz w:val="22"/>
      <w:szCs w:val="20"/>
      <w:lang w:eastAsia="ru-RU" w:val="ru-RU" w:bidi="ar-SA"/>
    </w:rPr>
  </w:style>
  <w:style w:type="paragraph" w:styleId="ConsPlusNonformat" w:customStyle="1">
    <w:name w:val="ConsPlusNonformat"/>
    <w:qFormat/>
    <w:rsid w:val="002309da"/>
    <w:pPr>
      <w:widowControl w:val="false"/>
      <w:bidi w:val="0"/>
      <w:spacing w:lineRule="auto" w:line="240" w:before="0" w:after="0"/>
      <w:jc w:val="left"/>
    </w:pPr>
    <w:rPr>
      <w:rFonts w:ascii="Courier New" w:hAnsi="Courier New" w:eastAsia="Times New Roman" w:cs="Courier New"/>
      <w:color w:val="auto"/>
      <w:kern w:val="0"/>
      <w:sz w:val="20"/>
      <w:szCs w:val="20"/>
      <w:lang w:eastAsia="ru-RU" w:val="ru-RU" w:bidi="ar-SA"/>
    </w:rPr>
  </w:style>
  <w:style w:type="paragraph" w:styleId="ConsPlusTitle" w:customStyle="1">
    <w:name w:val="ConsPlusTitle"/>
    <w:qFormat/>
    <w:rsid w:val="002309da"/>
    <w:pPr>
      <w:widowControl w:val="false"/>
      <w:bidi w:val="0"/>
      <w:spacing w:lineRule="auto" w:line="240" w:before="0" w:after="0"/>
      <w:jc w:val="left"/>
    </w:pPr>
    <w:rPr>
      <w:rFonts w:ascii="Calibri" w:hAnsi="Calibri" w:eastAsia="Times New Roman" w:cs="Calibri" w:asciiTheme="minorHAnsi" w:hAnsiTheme="minorHAnsi"/>
      <w:b/>
      <w:color w:val="auto"/>
      <w:kern w:val="0"/>
      <w:sz w:val="22"/>
      <w:szCs w:val="20"/>
      <w:lang w:eastAsia="ru-RU" w:val="ru-RU" w:bidi="ar-SA"/>
    </w:rPr>
  </w:style>
  <w:style w:type="paragraph" w:styleId="ConsPlusCell" w:customStyle="1">
    <w:name w:val="ConsPlusCell"/>
    <w:qFormat/>
    <w:rsid w:val="002309da"/>
    <w:pPr>
      <w:widowControl w:val="false"/>
      <w:bidi w:val="0"/>
      <w:spacing w:lineRule="auto" w:line="240" w:before="0" w:after="0"/>
      <w:jc w:val="left"/>
    </w:pPr>
    <w:rPr>
      <w:rFonts w:ascii="Courier New" w:hAnsi="Courier New" w:eastAsia="Times New Roman" w:cs="Courier New"/>
      <w:color w:val="auto"/>
      <w:kern w:val="0"/>
      <w:sz w:val="20"/>
      <w:szCs w:val="20"/>
      <w:lang w:eastAsia="ru-RU" w:val="ru-RU" w:bidi="ar-SA"/>
    </w:rPr>
  </w:style>
  <w:style w:type="paragraph" w:styleId="ConsPlusDocList" w:customStyle="1">
    <w:name w:val="ConsPlusDocList"/>
    <w:qFormat/>
    <w:rsid w:val="002309da"/>
    <w:pPr>
      <w:widowControl w:val="false"/>
      <w:bidi w:val="0"/>
      <w:spacing w:lineRule="auto" w:line="240" w:before="0" w:after="0"/>
      <w:jc w:val="left"/>
    </w:pPr>
    <w:rPr>
      <w:rFonts w:ascii="Calibri" w:hAnsi="Calibri" w:eastAsia="Times New Roman" w:cs="Calibri" w:asciiTheme="minorHAnsi" w:hAnsiTheme="minorHAnsi"/>
      <w:color w:val="auto"/>
      <w:kern w:val="0"/>
      <w:sz w:val="22"/>
      <w:szCs w:val="20"/>
      <w:lang w:eastAsia="ru-RU" w:val="ru-RU" w:bidi="ar-SA"/>
    </w:rPr>
  </w:style>
  <w:style w:type="paragraph" w:styleId="ConsPlusTitlePage" w:customStyle="1">
    <w:name w:val="ConsPlusTitlePage"/>
    <w:qFormat/>
    <w:rsid w:val="002309da"/>
    <w:pPr>
      <w:widowControl w:val="false"/>
      <w:bidi w:val="0"/>
      <w:spacing w:lineRule="auto" w:line="240" w:before="0" w:after="0"/>
      <w:jc w:val="left"/>
    </w:pPr>
    <w:rPr>
      <w:rFonts w:ascii="Tahoma" w:hAnsi="Tahoma" w:eastAsia="Times New Roman" w:cs="Tahoma"/>
      <w:color w:val="auto"/>
      <w:kern w:val="0"/>
      <w:sz w:val="20"/>
      <w:szCs w:val="20"/>
      <w:lang w:eastAsia="ru-RU" w:val="ru-RU" w:bidi="ar-SA"/>
    </w:rPr>
  </w:style>
  <w:style w:type="paragraph" w:styleId="ConsPlusJurTerm" w:customStyle="1">
    <w:name w:val="ConsPlusJurTerm"/>
    <w:qFormat/>
    <w:rsid w:val="002309da"/>
    <w:pPr>
      <w:widowControl w:val="false"/>
      <w:bidi w:val="0"/>
      <w:spacing w:lineRule="auto" w:line="240" w:before="0" w:after="0"/>
      <w:jc w:val="left"/>
    </w:pPr>
    <w:rPr>
      <w:rFonts w:ascii="Tahoma" w:hAnsi="Tahoma" w:eastAsia="Times New Roman" w:cs="Tahoma"/>
      <w:color w:val="auto"/>
      <w:kern w:val="0"/>
      <w:sz w:val="26"/>
      <w:szCs w:val="20"/>
      <w:lang w:eastAsia="ru-RU" w:val="ru-RU" w:bidi="ar-SA"/>
    </w:rPr>
  </w:style>
  <w:style w:type="paragraph" w:styleId="ConsPlusTextList" w:customStyle="1">
    <w:name w:val="ConsPlusTextList"/>
    <w:qFormat/>
    <w:rsid w:val="002309da"/>
    <w:pPr>
      <w:widowControl w:val="false"/>
      <w:bidi w:val="0"/>
      <w:spacing w:lineRule="auto" w:line="240" w:before="0" w:after="0"/>
      <w:jc w:val="left"/>
    </w:pPr>
    <w:rPr>
      <w:rFonts w:ascii="Arial" w:hAnsi="Arial" w:eastAsia="Times New Roman" w:cs="Arial"/>
      <w:color w:val="auto"/>
      <w:kern w:val="0"/>
      <w:sz w:val="20"/>
      <w:szCs w:val="20"/>
      <w:lang w:eastAsia="ru-RU" w:val="ru-RU" w:bidi="ar-SA"/>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image" Target="media/image2.wmf"/><Relationship Id="rId4" Type="http://schemas.openxmlformats.org/officeDocument/2006/relationships/hyperlink" Target="consultantplus://offline/ref=96459022ABE20A108D85BEF4D00E4D4E07439ACA41B72EBA52336ED93C7354A0033257D43948749CE892C5F05CsAq5F" TargetMode="Externa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LibreOffice/7.0.1.2$Windows_X86_64 LibreOffice_project/7cbcfc562f6eb6708b5ff7d7397325de9e764452</Application>
  <Pages>3</Pages>
  <Words>1692</Words>
  <Characters>13023</Characters>
  <CharactersWithSpaces>14654</CharactersWithSpaces>
  <Paragraphs>63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2021-03-26T11:56:00Z</dcterms:created>
  <dc:creator>User</dc:creator>
  <dc:description/>
  <dc:language>ru-RU</dc:language>
  <cp:lastModifiedBy>User</cp:lastModifiedBy>
  <dcterms:modified xsi:type="dcterms:W3CDTF">2021-03-26T11:56:00Z</dcterms:modified>
  <cp:revision>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